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B0" w:rsidRPr="00B473DE" w:rsidRDefault="007D64B0" w:rsidP="00BD10EB">
      <w:pPr>
        <w:pStyle w:val="LLVZwiTi2AltZ"/>
        <w:keepLines w:val="0"/>
        <w:spacing w:after="280"/>
        <w:rPr>
          <w:rFonts w:asciiTheme="minorHAnsi" w:eastAsiaTheme="minorHAnsi" w:hAnsiTheme="minorHAnsi" w:cstheme="minorBidi"/>
          <w:sz w:val="32"/>
          <w:szCs w:val="32"/>
        </w:rPr>
      </w:pPr>
      <w:r w:rsidRPr="00B473DE">
        <w:rPr>
          <w:rFonts w:asciiTheme="minorHAnsi" w:eastAsiaTheme="minorHAnsi" w:hAnsiTheme="minorHAnsi" w:cstheme="minorBidi"/>
          <w:sz w:val="32"/>
          <w:szCs w:val="32"/>
        </w:rPr>
        <w:t>Vertraulichkeitsvereinbarung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7655"/>
      </w:tblGrid>
      <w:tr w:rsidR="00702290" w:rsidTr="00B473DE">
        <w:tc>
          <w:tcPr>
            <w:tcW w:w="1526" w:type="dxa"/>
          </w:tcPr>
          <w:p w:rsidR="00702290" w:rsidRPr="00B473DE" w:rsidRDefault="00702290" w:rsidP="00B473DE">
            <w:pPr>
              <w:pStyle w:val="berschrift4"/>
              <w:keepLines w:val="0"/>
              <w:numPr>
                <w:ilvl w:val="0"/>
                <w:numId w:val="0"/>
              </w:numPr>
              <w:spacing w:after="280"/>
              <w:outlineLvl w:val="3"/>
              <w:rPr>
                <w:rFonts w:asciiTheme="minorHAnsi" w:eastAsiaTheme="minorHAnsi" w:hAnsiTheme="minorHAnsi" w:cstheme="minorBidi"/>
                <w:iCs w:val="0"/>
              </w:rPr>
            </w:pPr>
            <w:r w:rsidRPr="00B473DE">
              <w:rPr>
                <w:rFonts w:asciiTheme="minorHAnsi" w:eastAsiaTheme="minorHAnsi" w:hAnsiTheme="minorHAnsi" w:cstheme="minorBidi"/>
                <w:iCs w:val="0"/>
              </w:rPr>
              <w:t>Zwischen</w:t>
            </w:r>
          </w:p>
        </w:tc>
        <w:tc>
          <w:tcPr>
            <w:tcW w:w="7968" w:type="dxa"/>
          </w:tcPr>
          <w:p w:rsidR="00702290" w:rsidRDefault="0001780E" w:rsidP="00702290">
            <w:r>
              <w:t>Name, Adresse, PLZ, Ort, Land</w:t>
            </w:r>
          </w:p>
        </w:tc>
      </w:tr>
      <w:tr w:rsidR="00702290" w:rsidTr="00B473DE">
        <w:tc>
          <w:tcPr>
            <w:tcW w:w="1526" w:type="dxa"/>
          </w:tcPr>
          <w:p w:rsidR="00702290" w:rsidRPr="00B473DE" w:rsidRDefault="00702290">
            <w:pPr>
              <w:rPr>
                <w:b/>
              </w:rPr>
            </w:pPr>
            <w:r w:rsidRPr="00B473DE">
              <w:rPr>
                <w:b/>
              </w:rPr>
              <w:t>Und</w:t>
            </w:r>
          </w:p>
        </w:tc>
        <w:tc>
          <w:tcPr>
            <w:tcW w:w="7968" w:type="dxa"/>
          </w:tcPr>
          <w:p w:rsidR="00702290" w:rsidRDefault="0001780E">
            <w:r>
              <w:rPr>
                <w:b/>
              </w:rPr>
              <w:t>{XXX} Genossenschaft</w:t>
            </w:r>
            <w:r w:rsidR="00702290">
              <w:t xml:space="preserve">, </w:t>
            </w:r>
            <w:r>
              <w:t>Adresse, PLZ, Ort,</w:t>
            </w:r>
          </w:p>
          <w:p w:rsidR="00702290" w:rsidRDefault="0001780E">
            <w:r>
              <w:t>im Folgenden „LVC“ genannt.</w:t>
            </w:r>
          </w:p>
        </w:tc>
      </w:tr>
      <w:tr w:rsidR="0001780E" w:rsidTr="00B473DE">
        <w:tc>
          <w:tcPr>
            <w:tcW w:w="1526" w:type="dxa"/>
          </w:tcPr>
          <w:p w:rsidR="0001780E" w:rsidRPr="00B473DE" w:rsidRDefault="0001780E">
            <w:pPr>
              <w:rPr>
                <w:b/>
              </w:rPr>
            </w:pPr>
          </w:p>
        </w:tc>
        <w:tc>
          <w:tcPr>
            <w:tcW w:w="7968" w:type="dxa"/>
          </w:tcPr>
          <w:p w:rsidR="0001780E" w:rsidRDefault="0001780E">
            <w:pPr>
              <w:rPr>
                <w:b/>
              </w:rPr>
            </w:pPr>
            <w:r>
              <w:t>Beide Parteien werden nachfolgend „</w:t>
            </w:r>
            <w:r w:rsidRPr="00347A65">
              <w:rPr>
                <w:b/>
              </w:rPr>
              <w:t>Parteien</w:t>
            </w:r>
            <w:r>
              <w:t>“ genannt.</w:t>
            </w:r>
          </w:p>
        </w:tc>
      </w:tr>
      <w:tr w:rsidR="00702290" w:rsidTr="00B473DE">
        <w:tc>
          <w:tcPr>
            <w:tcW w:w="1526" w:type="dxa"/>
          </w:tcPr>
          <w:p w:rsidR="00702290" w:rsidRPr="00B473DE" w:rsidRDefault="00702290">
            <w:pPr>
              <w:rPr>
                <w:b/>
              </w:rPr>
            </w:pPr>
            <w:r w:rsidRPr="00B473DE">
              <w:rPr>
                <w:b/>
              </w:rPr>
              <w:t>Präambel</w:t>
            </w:r>
          </w:p>
        </w:tc>
        <w:tc>
          <w:tcPr>
            <w:tcW w:w="7968" w:type="dxa"/>
          </w:tcPr>
          <w:p w:rsidR="00702290" w:rsidRDefault="0001780E" w:rsidP="002C458D">
            <w:r>
              <w:t>Die LVC  hat das Ziel, eine Innovation zur Marktreife zu entwickeln. Dabei ist sie auf die Ressourcen, das Know-</w:t>
            </w:r>
            <w:r w:rsidR="002C458D">
              <w:t>h</w:t>
            </w:r>
            <w:r>
              <w:t>ow oder Kapital von Dritten angewiesen. Die Parteien tauschen im Rahmen eines oder mehrerer Projekte (nachfo</w:t>
            </w:r>
            <w:r>
              <w:t>l</w:t>
            </w:r>
            <w:r>
              <w:t>gende „Projekt“ genannt) vertrauliches Material und Informationen („</w:t>
            </w:r>
            <w:r w:rsidRPr="00347A65">
              <w:rPr>
                <w:b/>
              </w:rPr>
              <w:t>ve</w:t>
            </w:r>
            <w:r w:rsidRPr="00347A65">
              <w:rPr>
                <w:b/>
              </w:rPr>
              <w:t>r</w:t>
            </w:r>
            <w:r w:rsidRPr="00347A65">
              <w:rPr>
                <w:b/>
              </w:rPr>
              <w:t>trauliche Information</w:t>
            </w:r>
            <w:r>
              <w:t>“) zur gemeinsamen Weiterentwicklung oder zur Pr</w:t>
            </w:r>
            <w:r>
              <w:t>ü</w:t>
            </w:r>
            <w:r>
              <w:t xml:space="preserve">fung und Vertragsanbahnung einer Kooperation im Rahmen der LVC aus und </w:t>
            </w:r>
            <w:r w:rsidR="00702290">
              <w:t>vereinbaren, um einen Missbrauch dieser Informationen zu verhindern, das Folgende</w:t>
            </w:r>
            <w:r>
              <w:t>:</w:t>
            </w:r>
          </w:p>
        </w:tc>
      </w:tr>
      <w:tr w:rsidR="00702290" w:rsidTr="00B473DE">
        <w:tc>
          <w:tcPr>
            <w:tcW w:w="1526" w:type="dxa"/>
          </w:tcPr>
          <w:p w:rsidR="00702290" w:rsidRPr="00B473DE" w:rsidRDefault="00702290">
            <w:pPr>
              <w:rPr>
                <w:b/>
              </w:rPr>
            </w:pPr>
            <w:r w:rsidRPr="00B473DE">
              <w:rPr>
                <w:b/>
              </w:rPr>
              <w:t>Vertraulichkeit</w:t>
            </w:r>
          </w:p>
        </w:tc>
        <w:tc>
          <w:tcPr>
            <w:tcW w:w="7968" w:type="dxa"/>
          </w:tcPr>
          <w:p w:rsidR="0001780E" w:rsidRDefault="00702290">
            <w:r>
              <w:t>Beide Parteien verpflichten sich hiermit, alle Informationen, die sie direkt oder indirekt im Rahmen eines Projekts oder sonstiger Geschäftsbeziehung von der anderen Partei erlangt haben, vertraulich zu behandeln. Als ve</w:t>
            </w:r>
            <w:r>
              <w:t>r</w:t>
            </w:r>
            <w:r>
              <w:t>trauliche Informationen sollen ausdrücklich alle Informationen gelten, we</w:t>
            </w:r>
            <w:r>
              <w:t>l</w:t>
            </w:r>
            <w:r>
              <w:t>che die eine Partei („</w:t>
            </w:r>
            <w:r w:rsidRPr="00347A65">
              <w:rPr>
                <w:b/>
              </w:rPr>
              <w:t>empfangende Partei</w:t>
            </w:r>
            <w:r>
              <w:t>“) von der anderen Partei („</w:t>
            </w:r>
            <w:r w:rsidRPr="00347A65">
              <w:rPr>
                <w:b/>
              </w:rPr>
              <w:t>se</w:t>
            </w:r>
            <w:r w:rsidRPr="00347A65">
              <w:rPr>
                <w:b/>
              </w:rPr>
              <w:t>n</w:t>
            </w:r>
            <w:r w:rsidRPr="00347A65">
              <w:rPr>
                <w:b/>
              </w:rPr>
              <w:t>dende Partei</w:t>
            </w:r>
            <w:r>
              <w:t>“) erhält.</w:t>
            </w:r>
          </w:p>
        </w:tc>
      </w:tr>
      <w:tr w:rsidR="00702290" w:rsidTr="00B473DE">
        <w:tc>
          <w:tcPr>
            <w:tcW w:w="1526" w:type="dxa"/>
          </w:tcPr>
          <w:p w:rsidR="00702290" w:rsidRPr="00B473DE" w:rsidRDefault="00702290">
            <w:pPr>
              <w:rPr>
                <w:b/>
              </w:rPr>
            </w:pPr>
            <w:r w:rsidRPr="00B473DE">
              <w:rPr>
                <w:b/>
              </w:rPr>
              <w:t>Vertrauliche Informationen</w:t>
            </w:r>
          </w:p>
        </w:tc>
        <w:tc>
          <w:tcPr>
            <w:tcW w:w="7968" w:type="dxa"/>
          </w:tcPr>
          <w:p w:rsidR="00702290" w:rsidRDefault="0005481D" w:rsidP="00B473DE">
            <w:pPr>
              <w:tabs>
                <w:tab w:val="left" w:pos="1701"/>
              </w:tabs>
              <w:ind w:left="387" w:hanging="387"/>
            </w:pPr>
            <w:r>
              <w:t>1.</w:t>
            </w:r>
            <w:r>
              <w:tab/>
              <w:t>Der Begriff „</w:t>
            </w:r>
            <w:r w:rsidRPr="00846E21">
              <w:rPr>
                <w:b/>
              </w:rPr>
              <w:t>vertrauliche Information</w:t>
            </w:r>
            <w:r>
              <w:t>“ ist grundsätzlich weit zu fassen und umfasst alle mündlich, schriftlich oder anderweitig kommunizierten Informationen, insbesondere alle nicht öffentlich verfügbaren Inform</w:t>
            </w:r>
            <w:r>
              <w:t>a</w:t>
            </w:r>
            <w:r>
              <w:t>tionen, die der empfangenden Partei von der se</w:t>
            </w:r>
            <w:r w:rsidR="002C458D">
              <w:t>nd</w:t>
            </w:r>
            <w:r>
              <w:t>enden Partei übe</w:t>
            </w:r>
            <w:r>
              <w:t>r</w:t>
            </w:r>
            <w:r>
              <w:t>mittelt werden.</w:t>
            </w:r>
          </w:p>
          <w:p w:rsidR="00702290" w:rsidRDefault="00B473DE" w:rsidP="00B473DE">
            <w:pPr>
              <w:pStyle w:val="LLVStandardVorNumAltV"/>
              <w:numPr>
                <w:ilvl w:val="0"/>
                <w:numId w:val="0"/>
              </w:numPr>
              <w:tabs>
                <w:tab w:val="left" w:pos="1701"/>
              </w:tabs>
              <w:ind w:left="387" w:hanging="387"/>
            </w:pPr>
            <w:r>
              <w:t>2.</w:t>
            </w:r>
            <w:r>
              <w:tab/>
            </w:r>
            <w:r w:rsidR="00702290">
              <w:t>Als nicht vertraulich zu behandelnden Informationen sollen solche I</w:t>
            </w:r>
            <w:r w:rsidR="00702290">
              <w:t>n</w:t>
            </w:r>
            <w:r w:rsidR="00702290">
              <w:t>formationen gelten, die</w:t>
            </w:r>
          </w:p>
          <w:p w:rsidR="00702290" w:rsidRDefault="00B473DE" w:rsidP="00B473DE">
            <w:pPr>
              <w:pStyle w:val="Textkrper-Zeileneinzug"/>
            </w:pPr>
            <w:r>
              <w:t>a.</w:t>
            </w:r>
            <w:r>
              <w:tab/>
            </w:r>
            <w:r w:rsidR="00702290">
              <w:t xml:space="preserve">der empfangenden Partei und der Öffentlichkeit nachweislich schon vor ihrer </w:t>
            </w:r>
            <w:r w:rsidR="00C70DFE">
              <w:t>Offenlegung durch die sendende Partei bekannt waren,</w:t>
            </w:r>
          </w:p>
          <w:p w:rsidR="00702290" w:rsidRDefault="00702290" w:rsidP="00B473DE">
            <w:pPr>
              <w:tabs>
                <w:tab w:val="left" w:pos="1418"/>
              </w:tabs>
              <w:ind w:left="671" w:hanging="284"/>
            </w:pPr>
            <w:r>
              <w:t>b.</w:t>
            </w:r>
            <w:r w:rsidR="00B473DE">
              <w:tab/>
            </w:r>
            <w:r w:rsidR="00C70DFE">
              <w:t>nach dem Zeitpunkt ihrer Offenlegung durch die sendende Partei g</w:t>
            </w:r>
            <w:r w:rsidR="00C70DFE">
              <w:t>e</w:t>
            </w:r>
            <w:r w:rsidR="00C70DFE">
              <w:t>genüber der empfangenden Partei anders in die Öffentlichkeit g</w:t>
            </w:r>
            <w:r w:rsidR="00C70DFE">
              <w:t>e</w:t>
            </w:r>
            <w:r w:rsidR="00C70DFE">
              <w:t>langt sind als durch Offenlegung seitens der empfangenden Partei,</w:t>
            </w:r>
          </w:p>
          <w:p w:rsidR="00702290" w:rsidRDefault="00702290" w:rsidP="00B473DE">
            <w:pPr>
              <w:tabs>
                <w:tab w:val="left" w:pos="1418"/>
              </w:tabs>
              <w:ind w:left="671" w:hanging="284"/>
            </w:pPr>
            <w:r>
              <w:t>c.</w:t>
            </w:r>
            <w:r w:rsidR="00B473DE">
              <w:tab/>
            </w:r>
            <w:r w:rsidR="00C70DFE">
              <w:t>unabhängig von der empfangenden Partei ohne Verwendung der vertraulichen Informationen entwickelt worden sind, oder</w:t>
            </w:r>
          </w:p>
          <w:p w:rsidR="00B473DE" w:rsidRDefault="00B473DE" w:rsidP="00B473DE">
            <w:pPr>
              <w:tabs>
                <w:tab w:val="left" w:pos="1418"/>
              </w:tabs>
              <w:ind w:left="671" w:hanging="284"/>
            </w:pPr>
            <w:r>
              <w:t>d.</w:t>
            </w:r>
            <w:r>
              <w:tab/>
            </w:r>
            <w:r w:rsidR="00C70DFE">
              <w:t>der empfangenden Partei gegenüber ohne Beschränkung weiterer Offenlegung von einem Dritten offengelegt worden sind, der zur O</w:t>
            </w:r>
            <w:r w:rsidR="00C70DFE">
              <w:t>f</w:t>
            </w:r>
            <w:r w:rsidR="00C70DFE">
              <w:lastRenderedPageBreak/>
              <w:t>fenlegung berechtigt ist.</w:t>
            </w:r>
          </w:p>
          <w:p w:rsidR="00071633" w:rsidRDefault="00071633" w:rsidP="00B473DE">
            <w:pPr>
              <w:tabs>
                <w:tab w:val="left" w:pos="1418"/>
              </w:tabs>
              <w:ind w:left="671" w:hanging="284"/>
            </w:pPr>
          </w:p>
        </w:tc>
      </w:tr>
      <w:tr w:rsidR="00702290" w:rsidTr="00B473DE">
        <w:tc>
          <w:tcPr>
            <w:tcW w:w="1526" w:type="dxa"/>
          </w:tcPr>
          <w:p w:rsidR="00702290" w:rsidRPr="00B473DE" w:rsidRDefault="00702290">
            <w:pPr>
              <w:rPr>
                <w:b/>
              </w:rPr>
            </w:pPr>
            <w:r w:rsidRPr="00B473DE">
              <w:rPr>
                <w:b/>
              </w:rPr>
              <w:lastRenderedPageBreak/>
              <w:t>Behandlung von vertraulichen Informationen</w:t>
            </w:r>
          </w:p>
        </w:tc>
        <w:tc>
          <w:tcPr>
            <w:tcW w:w="7968" w:type="dxa"/>
          </w:tcPr>
          <w:p w:rsidR="00702290" w:rsidRDefault="00702290" w:rsidP="00B473DE">
            <w:pPr>
              <w:tabs>
                <w:tab w:val="left" w:pos="1701"/>
              </w:tabs>
            </w:pPr>
            <w:r>
              <w:t>Die empfangende Partei wird die unbefugte Benutzung, Bekanntgabe, Ve</w:t>
            </w:r>
            <w:r>
              <w:t>r</w:t>
            </w:r>
            <w:r>
              <w:t>öffentlichung oder Verbreitung von vertraulichen Informationen unterla</w:t>
            </w:r>
            <w:r>
              <w:t>s</w:t>
            </w:r>
            <w:r>
              <w:t>sen und hierbei die Sorgfalt wie in eigenen, international üblichen Angel</w:t>
            </w:r>
            <w:r>
              <w:t>e</w:t>
            </w:r>
            <w:r>
              <w:t>genheiten, anwenden. Die jeweils empfangende Partei verpflichtet sich, diese Informationen gegenüber Dritten weder selbst noch durch andere Personen zu vervielfältigen, zu verbreiten, bekannt zu geben oder diese für andere Zwecke zu nutzen, es sei denn, es wird die vorherige schriftliche oder mündliche Zustimmung der sendenden Partei eingeholt.</w:t>
            </w:r>
          </w:p>
        </w:tc>
      </w:tr>
      <w:tr w:rsidR="00702290" w:rsidTr="00B473DE">
        <w:tc>
          <w:tcPr>
            <w:tcW w:w="1526" w:type="dxa"/>
          </w:tcPr>
          <w:p w:rsidR="00702290" w:rsidRPr="00B473DE" w:rsidRDefault="00702290">
            <w:pPr>
              <w:rPr>
                <w:b/>
              </w:rPr>
            </w:pPr>
            <w:r w:rsidRPr="00B473DE">
              <w:rPr>
                <w:b/>
              </w:rPr>
              <w:t>Personenumfang</w:t>
            </w:r>
          </w:p>
        </w:tc>
        <w:tc>
          <w:tcPr>
            <w:tcW w:w="7968" w:type="dxa"/>
          </w:tcPr>
          <w:p w:rsidR="00702290" w:rsidRDefault="00702290" w:rsidP="00B473DE">
            <w:pPr>
              <w:pStyle w:val="LLVStandardVorNumAltV"/>
              <w:numPr>
                <w:ilvl w:val="0"/>
                <w:numId w:val="0"/>
              </w:numPr>
              <w:tabs>
                <w:tab w:val="left" w:pos="1701"/>
              </w:tabs>
            </w:pPr>
            <w:r>
              <w:t>Die Pflichten nach dieser Vereinbarung erstrecken sich auf die mit dem Pr</w:t>
            </w:r>
            <w:r>
              <w:t>o</w:t>
            </w:r>
            <w:r>
              <w:t xml:space="preserve">jekt befassten Angestellten, </w:t>
            </w:r>
            <w:r w:rsidR="00B94C26">
              <w:t xml:space="preserve">Genossenschafter, </w:t>
            </w:r>
            <w:r>
              <w:t>Beauftragten, Berater und Finanzierungspartner der Parteien sowie ihnen verbundene Personen, ohne Rücksicht auf die Art und rechtliche Ausgestaltung der Zusammenarbeit.</w:t>
            </w:r>
          </w:p>
        </w:tc>
      </w:tr>
      <w:tr w:rsidR="00702290" w:rsidTr="00B473DE">
        <w:tc>
          <w:tcPr>
            <w:tcW w:w="1526" w:type="dxa"/>
          </w:tcPr>
          <w:p w:rsidR="00702290" w:rsidRPr="00B473DE" w:rsidRDefault="00702290">
            <w:pPr>
              <w:rPr>
                <w:b/>
              </w:rPr>
            </w:pPr>
            <w:r w:rsidRPr="00B473DE">
              <w:rPr>
                <w:b/>
              </w:rPr>
              <w:t>Dauer der G</w:t>
            </w:r>
            <w:r w:rsidRPr="00B473DE">
              <w:rPr>
                <w:b/>
              </w:rPr>
              <w:t>e</w:t>
            </w:r>
            <w:r w:rsidRPr="00B473DE">
              <w:rPr>
                <w:b/>
              </w:rPr>
              <w:t>heimhaltung</w:t>
            </w:r>
          </w:p>
        </w:tc>
        <w:tc>
          <w:tcPr>
            <w:tcW w:w="7968" w:type="dxa"/>
          </w:tcPr>
          <w:p w:rsidR="00702290" w:rsidRDefault="00702290" w:rsidP="002C458D">
            <w:pPr>
              <w:pStyle w:val="LLVStandardVorNumAltV"/>
              <w:numPr>
                <w:ilvl w:val="0"/>
                <w:numId w:val="0"/>
              </w:numPr>
              <w:tabs>
                <w:tab w:val="left" w:pos="1701"/>
              </w:tabs>
            </w:pPr>
            <w:r w:rsidRPr="002C458D">
              <w:t>Die Pflichten nach dieser Vereinbarung beginnen jeweils mit Offenlegung der vertraulichen Inf</w:t>
            </w:r>
            <w:r w:rsidR="002C458D" w:rsidRPr="002C458D">
              <w:t xml:space="preserve">ormation gegenüber einer Partei. </w:t>
            </w:r>
            <w:r w:rsidRPr="002C458D">
              <w:t>Diese Vereinbarung bleibt über die Beendigung der geschäftlichen Beziehung zwischen den Pa</w:t>
            </w:r>
            <w:r w:rsidRPr="002C458D">
              <w:t>r</w:t>
            </w:r>
            <w:r w:rsidRPr="002C458D">
              <w:t>teien hinaus</w:t>
            </w:r>
            <w:r w:rsidR="002C458D">
              <w:t xml:space="preserve"> </w:t>
            </w:r>
            <w:r w:rsidRPr="002C458D">
              <w:t xml:space="preserve"> bestehen</w:t>
            </w:r>
            <w:r w:rsidR="002C458D">
              <w:t>, endet aber bei Veröffentlichung durch die autor</w:t>
            </w:r>
            <w:r w:rsidR="002C458D">
              <w:t>i</w:t>
            </w:r>
            <w:r w:rsidR="002C458D">
              <w:t>sierte Partei.</w:t>
            </w:r>
            <w:bookmarkStart w:id="0" w:name="_GoBack"/>
            <w:bookmarkEnd w:id="0"/>
          </w:p>
        </w:tc>
      </w:tr>
      <w:tr w:rsidR="00702290" w:rsidTr="00B473DE">
        <w:tc>
          <w:tcPr>
            <w:tcW w:w="1526" w:type="dxa"/>
          </w:tcPr>
          <w:p w:rsidR="00702290" w:rsidRPr="00B473DE" w:rsidRDefault="00702290">
            <w:pPr>
              <w:rPr>
                <w:b/>
              </w:rPr>
            </w:pPr>
            <w:r w:rsidRPr="00B473DE">
              <w:rPr>
                <w:b/>
              </w:rPr>
              <w:t>Gerichtsstand und anzuwe</w:t>
            </w:r>
            <w:r w:rsidRPr="00B473DE">
              <w:rPr>
                <w:b/>
              </w:rPr>
              <w:t>n</w:t>
            </w:r>
            <w:r w:rsidRPr="00B473DE">
              <w:rPr>
                <w:b/>
              </w:rPr>
              <w:t>dendes Recht</w:t>
            </w:r>
          </w:p>
        </w:tc>
        <w:tc>
          <w:tcPr>
            <w:tcW w:w="7968" w:type="dxa"/>
          </w:tcPr>
          <w:p w:rsidR="00702290" w:rsidRDefault="00B473DE" w:rsidP="00B473DE">
            <w:pPr>
              <w:pStyle w:val="LLVStandardVorNumAltV"/>
              <w:numPr>
                <w:ilvl w:val="0"/>
                <w:numId w:val="0"/>
              </w:numPr>
              <w:tabs>
                <w:tab w:val="left" w:pos="1701"/>
              </w:tabs>
              <w:ind w:left="353" w:hanging="353"/>
            </w:pPr>
            <w:r>
              <w:t>1.</w:t>
            </w:r>
            <w:r>
              <w:tab/>
            </w:r>
            <w:r w:rsidR="00702290">
              <w:t xml:space="preserve">Rechtsgrundlage für diese Vereinbarung ist </w:t>
            </w:r>
            <w:r w:rsidR="00666DE3">
              <w:t>liechtensteinisches Recht</w:t>
            </w:r>
          </w:p>
          <w:p w:rsidR="00702290" w:rsidRDefault="00B473DE" w:rsidP="00666DE3">
            <w:pPr>
              <w:pStyle w:val="LLVStandardVorNumAltV"/>
              <w:numPr>
                <w:ilvl w:val="0"/>
                <w:numId w:val="0"/>
              </w:numPr>
              <w:tabs>
                <w:tab w:val="left" w:pos="1701"/>
              </w:tabs>
              <w:ind w:left="353" w:hanging="353"/>
            </w:pPr>
            <w:r>
              <w:t>2.</w:t>
            </w:r>
            <w:r>
              <w:tab/>
            </w:r>
            <w:r w:rsidR="00702290">
              <w:t xml:space="preserve">Ausschliesslicher Gerichtsstand für alle Klagen ist </w:t>
            </w:r>
            <w:r w:rsidR="00666DE3">
              <w:t>Vaduz.</w:t>
            </w:r>
          </w:p>
        </w:tc>
      </w:tr>
      <w:tr w:rsidR="00702290" w:rsidTr="00B473DE">
        <w:tc>
          <w:tcPr>
            <w:tcW w:w="1526" w:type="dxa"/>
          </w:tcPr>
          <w:p w:rsidR="00702290" w:rsidRPr="00B473DE" w:rsidRDefault="00702290">
            <w:pPr>
              <w:rPr>
                <w:b/>
              </w:rPr>
            </w:pPr>
            <w:r w:rsidRPr="00B473DE">
              <w:rPr>
                <w:b/>
              </w:rPr>
              <w:t>Salvatorische Klausel</w:t>
            </w:r>
          </w:p>
        </w:tc>
        <w:tc>
          <w:tcPr>
            <w:tcW w:w="7968" w:type="dxa"/>
          </w:tcPr>
          <w:p w:rsidR="00702290" w:rsidRDefault="00B94C26" w:rsidP="00702290">
            <w:pPr>
              <w:pStyle w:val="LLVStandardVorNumAltV"/>
              <w:numPr>
                <w:ilvl w:val="0"/>
                <w:numId w:val="0"/>
              </w:numPr>
              <w:tabs>
                <w:tab w:val="left" w:pos="1701"/>
              </w:tabs>
            </w:pPr>
            <w:r w:rsidRPr="00B94C26">
              <w:t>Sollten sich eine oder mehrere Bestimmungen dieses Vertrages als ungültig oder unzulässig erweisen, wird dadurch die Verbindlichkeit der übrigen Bestimmungen nicht berührt. Die Vertragsparteien sind verpflichtet, die weggefallene Bestimmung durch eine Regelung zu ersetzen, die dieser B</w:t>
            </w:r>
            <w:r w:rsidRPr="00B94C26">
              <w:t>e</w:t>
            </w:r>
            <w:r w:rsidRPr="00B94C26">
              <w:t>stimmung in rechtszulässiger Weise möglichst nahe kommt.</w:t>
            </w:r>
          </w:p>
        </w:tc>
      </w:tr>
    </w:tbl>
    <w:p w:rsidR="00BD10EB" w:rsidRDefault="00BD10EB" w:rsidP="00B473DE">
      <w:pPr>
        <w:pStyle w:val="LLVStandardVorNumAltV"/>
        <w:numPr>
          <w:ilvl w:val="0"/>
          <w:numId w:val="0"/>
        </w:numPr>
        <w:tabs>
          <w:tab w:val="left" w:pos="1701"/>
        </w:tabs>
        <w:spacing w:line="240" w:lineRule="auto"/>
      </w:pPr>
    </w:p>
    <w:p w:rsidR="00702290" w:rsidRDefault="00702290" w:rsidP="00B473DE">
      <w:pPr>
        <w:pStyle w:val="LLVStandardVorNumAltV"/>
        <w:numPr>
          <w:ilvl w:val="0"/>
          <w:numId w:val="0"/>
        </w:numPr>
        <w:tabs>
          <w:tab w:val="left" w:pos="1701"/>
        </w:tabs>
        <w:spacing w:line="240" w:lineRule="auto"/>
      </w:pPr>
    </w:p>
    <w:p w:rsidR="00702290" w:rsidRDefault="00702290" w:rsidP="00B473DE">
      <w:pPr>
        <w:pStyle w:val="LLVStandardVorNumAltV"/>
        <w:numPr>
          <w:ilvl w:val="0"/>
          <w:numId w:val="0"/>
        </w:numPr>
        <w:tabs>
          <w:tab w:val="left" w:pos="4678"/>
        </w:tabs>
        <w:spacing w:line="240" w:lineRule="auto"/>
      </w:pPr>
      <w:r>
        <w:t>____________________</w:t>
      </w:r>
      <w:r>
        <w:tab/>
        <w:t>___________________________________</w:t>
      </w:r>
      <w:r>
        <w:br/>
        <w:t>Ort und Datum</w:t>
      </w:r>
      <w:r>
        <w:tab/>
      </w:r>
      <w:r w:rsidR="00B94C26">
        <w:t>Vorname Name</w:t>
      </w:r>
    </w:p>
    <w:p w:rsidR="00702290" w:rsidRDefault="00702290" w:rsidP="00B473DE">
      <w:pPr>
        <w:pStyle w:val="LLVStandardVorNumAltV"/>
        <w:numPr>
          <w:ilvl w:val="0"/>
          <w:numId w:val="0"/>
        </w:numPr>
        <w:tabs>
          <w:tab w:val="left" w:pos="4678"/>
        </w:tabs>
        <w:spacing w:line="240" w:lineRule="auto"/>
      </w:pPr>
    </w:p>
    <w:p w:rsidR="00702290" w:rsidRDefault="00B94C26" w:rsidP="00B473DE">
      <w:pPr>
        <w:pStyle w:val="LLVStandardVorNumAltV"/>
        <w:numPr>
          <w:ilvl w:val="0"/>
          <w:numId w:val="0"/>
        </w:numPr>
        <w:tabs>
          <w:tab w:val="left" w:pos="4678"/>
        </w:tabs>
        <w:spacing w:line="240" w:lineRule="auto"/>
      </w:pPr>
      <w:r>
        <w:t>Ort</w:t>
      </w:r>
      <w:r w:rsidR="00702290">
        <w:t xml:space="preserve">, </w:t>
      </w:r>
      <w:r>
        <w:t>Datum</w:t>
      </w:r>
    </w:p>
    <w:p w:rsidR="00702290" w:rsidRDefault="00702290" w:rsidP="00702290">
      <w:pPr>
        <w:pStyle w:val="LLVStandardVorNumAltV"/>
        <w:numPr>
          <w:ilvl w:val="0"/>
          <w:numId w:val="0"/>
        </w:numPr>
        <w:tabs>
          <w:tab w:val="left" w:pos="4678"/>
        </w:tabs>
      </w:pPr>
      <w:r>
        <w:t>___________________</w:t>
      </w:r>
      <w:r>
        <w:tab/>
        <w:t>____________________________________</w:t>
      </w:r>
      <w:r>
        <w:br/>
        <w:t>Ort und Datum</w:t>
      </w:r>
      <w:r>
        <w:tab/>
      </w:r>
      <w:r w:rsidR="00B94C26">
        <w:t>{XXX} Genossenschaft</w:t>
      </w:r>
      <w:r w:rsidR="00E15EEC">
        <w:br/>
      </w:r>
      <w:r>
        <w:tab/>
      </w:r>
      <w:r w:rsidR="00B94C26">
        <w:t>Name, Vorname (Präsident)</w:t>
      </w:r>
      <w:r>
        <w:tab/>
      </w:r>
    </w:p>
    <w:sectPr w:rsidR="00702290" w:rsidSect="00B473DE">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33" w:rsidRDefault="00071633" w:rsidP="00071633">
      <w:pPr>
        <w:spacing w:after="0" w:line="240" w:lineRule="auto"/>
      </w:pPr>
      <w:r>
        <w:separator/>
      </w:r>
    </w:p>
  </w:endnote>
  <w:endnote w:type="continuationSeparator" w:id="0">
    <w:p w:rsidR="00071633" w:rsidRDefault="00071633" w:rsidP="0007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33" w:rsidRDefault="000716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33" w:rsidRDefault="000716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33" w:rsidRDefault="000716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33" w:rsidRDefault="00071633" w:rsidP="00071633">
      <w:pPr>
        <w:spacing w:after="0" w:line="240" w:lineRule="auto"/>
      </w:pPr>
      <w:r>
        <w:separator/>
      </w:r>
    </w:p>
  </w:footnote>
  <w:footnote w:type="continuationSeparator" w:id="0">
    <w:p w:rsidR="00071633" w:rsidRDefault="00071633" w:rsidP="00071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33" w:rsidRDefault="000716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33" w:rsidRDefault="0007163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33" w:rsidRDefault="000716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
    <w:nsid w:val="4D046884"/>
    <w:multiLevelType w:val="multilevel"/>
    <w:tmpl w:val="9FC01320"/>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2"/>
  </w:num>
  <w:num w:numId="8">
    <w:abstractNumId w:val="2"/>
  </w:num>
  <w:num w:numId="9">
    <w:abstractNumId w:val="2"/>
  </w:num>
  <w:num w:numId="10">
    <w:abstractNumId w:val="2"/>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B0"/>
    <w:rsid w:val="0001780E"/>
    <w:rsid w:val="0005481D"/>
    <w:rsid w:val="00071633"/>
    <w:rsid w:val="001A5FDC"/>
    <w:rsid w:val="002C458D"/>
    <w:rsid w:val="00347A65"/>
    <w:rsid w:val="0066215F"/>
    <w:rsid w:val="00666DE3"/>
    <w:rsid w:val="006F7E75"/>
    <w:rsid w:val="00702290"/>
    <w:rsid w:val="007D64B0"/>
    <w:rsid w:val="007F0A68"/>
    <w:rsid w:val="00846E21"/>
    <w:rsid w:val="009B42BA"/>
    <w:rsid w:val="00B473DE"/>
    <w:rsid w:val="00B94C26"/>
    <w:rsid w:val="00BD10EB"/>
    <w:rsid w:val="00C70DFE"/>
    <w:rsid w:val="00E15E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6F7E75"/>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6F7E75"/>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6F7E75"/>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6F7E75"/>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6F7E75"/>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6F7E75"/>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6F7E75"/>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6F7E75"/>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6F7E75"/>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6F7E75"/>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F7E75"/>
    <w:pPr>
      <w:spacing w:after="0" w:line="240" w:lineRule="auto"/>
    </w:pPr>
  </w:style>
  <w:style w:type="character" w:customStyle="1" w:styleId="berschrift9Zchn">
    <w:name w:val="Überschrift 9 Zchn"/>
    <w:aliases w:val="LLV_Überschrift9 Zchn"/>
    <w:basedOn w:val="Absatz-Standardschriftart"/>
    <w:link w:val="berschrift9"/>
    <w:uiPriority w:val="9"/>
    <w:rsid w:val="006F7E75"/>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6F7E75"/>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6F7E75"/>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6F7E75"/>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6F7E75"/>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6F7E75"/>
    <w:pPr>
      <w:spacing w:after="100"/>
      <w:ind w:left="1760"/>
    </w:pPr>
  </w:style>
  <w:style w:type="paragraph" w:styleId="Verzeichnis8">
    <w:name w:val="toc 8"/>
    <w:basedOn w:val="Standard"/>
    <w:next w:val="Standard"/>
    <w:autoRedefine/>
    <w:uiPriority w:val="39"/>
    <w:semiHidden/>
    <w:rsid w:val="006F7E75"/>
    <w:pPr>
      <w:spacing w:after="100"/>
      <w:ind w:left="1540"/>
    </w:pPr>
  </w:style>
  <w:style w:type="paragraph" w:styleId="Verzeichnis7">
    <w:name w:val="toc 7"/>
    <w:basedOn w:val="Standard"/>
    <w:next w:val="Standard"/>
    <w:autoRedefine/>
    <w:uiPriority w:val="39"/>
    <w:semiHidden/>
    <w:rsid w:val="006F7E75"/>
    <w:pPr>
      <w:spacing w:after="100"/>
      <w:ind w:left="1320"/>
    </w:pPr>
  </w:style>
  <w:style w:type="paragraph" w:styleId="Verzeichnis6">
    <w:name w:val="toc 6"/>
    <w:basedOn w:val="Standard"/>
    <w:next w:val="Standard"/>
    <w:autoRedefine/>
    <w:uiPriority w:val="39"/>
    <w:semiHidden/>
    <w:rsid w:val="006F7E75"/>
    <w:pPr>
      <w:spacing w:after="100"/>
      <w:ind w:left="1100"/>
    </w:pPr>
  </w:style>
  <w:style w:type="paragraph" w:styleId="Verzeichnis5">
    <w:name w:val="toc 5"/>
    <w:basedOn w:val="Standard"/>
    <w:next w:val="Standard"/>
    <w:autoRedefine/>
    <w:uiPriority w:val="39"/>
    <w:semiHidden/>
    <w:rsid w:val="006F7E75"/>
    <w:pPr>
      <w:spacing w:after="100"/>
      <w:ind w:left="880"/>
    </w:pPr>
  </w:style>
  <w:style w:type="paragraph" w:styleId="Untertitel">
    <w:name w:val="Subtitle"/>
    <w:basedOn w:val="Standard"/>
    <w:next w:val="Standard"/>
    <w:link w:val="UntertitelZchn"/>
    <w:uiPriority w:val="11"/>
    <w:semiHidden/>
    <w:qFormat/>
    <w:rsid w:val="006F7E75"/>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6F7E75"/>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6F7E75"/>
    <w:rPr>
      <w:i/>
      <w:iCs/>
      <w:color w:val="808080" w:themeColor="text1" w:themeTint="7F"/>
    </w:rPr>
  </w:style>
  <w:style w:type="character" w:styleId="Hervorhebung">
    <w:name w:val="Emphasis"/>
    <w:basedOn w:val="Absatz-Standardschriftart"/>
    <w:uiPriority w:val="20"/>
    <w:semiHidden/>
    <w:qFormat/>
    <w:rsid w:val="006F7E75"/>
    <w:rPr>
      <w:i/>
      <w:iCs/>
    </w:rPr>
  </w:style>
  <w:style w:type="character" w:styleId="IntensiveHervorhebung">
    <w:name w:val="Intense Emphasis"/>
    <w:basedOn w:val="Absatz-Standardschriftart"/>
    <w:uiPriority w:val="21"/>
    <w:semiHidden/>
    <w:qFormat/>
    <w:rsid w:val="006F7E75"/>
    <w:rPr>
      <w:b/>
      <w:bCs/>
      <w:i/>
      <w:iCs/>
      <w:color w:val="4F81BD" w:themeColor="accent1"/>
    </w:rPr>
  </w:style>
  <w:style w:type="paragraph" w:styleId="Zitat">
    <w:name w:val="Quote"/>
    <w:basedOn w:val="Standard"/>
    <w:next w:val="Standard"/>
    <w:link w:val="ZitatZchn"/>
    <w:uiPriority w:val="29"/>
    <w:semiHidden/>
    <w:qFormat/>
    <w:rsid w:val="006F7E75"/>
    <w:rPr>
      <w:i/>
      <w:iCs/>
      <w:color w:val="000000" w:themeColor="text1"/>
    </w:rPr>
  </w:style>
  <w:style w:type="character" w:customStyle="1" w:styleId="ZitatZchn">
    <w:name w:val="Zitat Zchn"/>
    <w:basedOn w:val="Absatz-Standardschriftart"/>
    <w:link w:val="Zitat"/>
    <w:uiPriority w:val="29"/>
    <w:rsid w:val="006F7E75"/>
    <w:rPr>
      <w:i/>
      <w:iCs/>
      <w:color w:val="000000" w:themeColor="text1"/>
    </w:rPr>
  </w:style>
  <w:style w:type="paragraph" w:styleId="IntensivesZitat">
    <w:name w:val="Intense Quote"/>
    <w:basedOn w:val="Standard"/>
    <w:next w:val="Standard"/>
    <w:link w:val="IntensivesZitatZchn"/>
    <w:uiPriority w:val="30"/>
    <w:semiHidden/>
    <w:qFormat/>
    <w:rsid w:val="006F7E75"/>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F7E75"/>
    <w:rPr>
      <w:b/>
      <w:bCs/>
      <w:i/>
      <w:iCs/>
      <w:color w:val="4F81BD" w:themeColor="accent1"/>
    </w:rPr>
  </w:style>
  <w:style w:type="character" w:styleId="SchwacherVerweis">
    <w:name w:val="Subtle Reference"/>
    <w:basedOn w:val="Absatz-Standardschriftart"/>
    <w:uiPriority w:val="31"/>
    <w:semiHidden/>
    <w:qFormat/>
    <w:rsid w:val="006F7E75"/>
    <w:rPr>
      <w:smallCaps/>
      <w:color w:val="C0504D" w:themeColor="accent2"/>
      <w:u w:val="single"/>
    </w:rPr>
  </w:style>
  <w:style w:type="character" w:styleId="IntensiverVerweis">
    <w:name w:val="Intense Reference"/>
    <w:basedOn w:val="Absatz-Standardschriftart"/>
    <w:uiPriority w:val="32"/>
    <w:semiHidden/>
    <w:qFormat/>
    <w:rsid w:val="006F7E75"/>
    <w:rPr>
      <w:b/>
      <w:bCs/>
      <w:smallCaps/>
      <w:color w:val="C0504D" w:themeColor="accent2"/>
      <w:spacing w:val="5"/>
      <w:u w:val="single"/>
    </w:rPr>
  </w:style>
  <w:style w:type="character" w:styleId="Buchtitel">
    <w:name w:val="Book Title"/>
    <w:basedOn w:val="Absatz-Standardschriftart"/>
    <w:uiPriority w:val="33"/>
    <w:semiHidden/>
    <w:qFormat/>
    <w:rsid w:val="006F7E75"/>
    <w:rPr>
      <w:b/>
      <w:bCs/>
      <w:smallCaps/>
      <w:spacing w:val="5"/>
    </w:rPr>
  </w:style>
  <w:style w:type="paragraph" w:styleId="Listenabsatz">
    <w:name w:val="List Paragraph"/>
    <w:basedOn w:val="Standard"/>
    <w:uiPriority w:val="34"/>
    <w:semiHidden/>
    <w:qFormat/>
    <w:rsid w:val="006F7E75"/>
    <w:pPr>
      <w:ind w:left="720"/>
      <w:contextualSpacing/>
    </w:pPr>
  </w:style>
  <w:style w:type="character" w:styleId="Fett">
    <w:name w:val="Strong"/>
    <w:basedOn w:val="Absatz-Standardschriftart"/>
    <w:uiPriority w:val="22"/>
    <w:semiHidden/>
    <w:qFormat/>
    <w:rsid w:val="006F7E75"/>
    <w:rPr>
      <w:b/>
      <w:bCs/>
    </w:rPr>
  </w:style>
  <w:style w:type="numbering" w:customStyle="1" w:styleId="LLVAufzhlung">
    <w:name w:val="LLV_Aufzählung"/>
    <w:basedOn w:val="KeineListe"/>
    <w:uiPriority w:val="99"/>
    <w:rsid w:val="006F7E75"/>
    <w:pPr>
      <w:numPr>
        <w:numId w:val="1"/>
      </w:numPr>
    </w:pPr>
  </w:style>
  <w:style w:type="numbering" w:customStyle="1" w:styleId="LLVNummerierung">
    <w:name w:val="LLV_Nummerierung"/>
    <w:basedOn w:val="KeineListe"/>
    <w:uiPriority w:val="99"/>
    <w:rsid w:val="006F7E75"/>
    <w:pPr>
      <w:numPr>
        <w:numId w:val="2"/>
      </w:numPr>
    </w:pPr>
  </w:style>
  <w:style w:type="paragraph" w:customStyle="1" w:styleId="LLVAufzhlung1AltA">
    <w:name w:val="LLV_Aufzählung1 (Alt + A)"/>
    <w:basedOn w:val="Standard"/>
    <w:next w:val="Standard"/>
    <w:link w:val="LLVAufzhlung1AltAZchn"/>
    <w:qFormat/>
    <w:rsid w:val="006F7E75"/>
    <w:pPr>
      <w:numPr>
        <w:numId w:val="6"/>
      </w:numPr>
      <w:spacing w:after="140"/>
    </w:pPr>
  </w:style>
  <w:style w:type="character" w:customStyle="1" w:styleId="LLVAufzhlung1AltAZchn">
    <w:name w:val="LLV_Aufzählung1 (Alt + A) Zchn"/>
    <w:basedOn w:val="Absatz-Standardschriftart"/>
    <w:link w:val="LLVAufzhlung1AltA"/>
    <w:rsid w:val="006F7E75"/>
    <w:rPr>
      <w:sz w:val="24"/>
      <w:szCs w:val="24"/>
      <w:lang w:val="de-DE"/>
    </w:rPr>
  </w:style>
  <w:style w:type="paragraph" w:customStyle="1" w:styleId="LLVAufzhlung2">
    <w:name w:val="LLV_Aufzählung2"/>
    <w:basedOn w:val="Standard"/>
    <w:next w:val="Standard"/>
    <w:link w:val="LLVAufzhlung2Zchn"/>
    <w:rsid w:val="006F7E75"/>
    <w:pPr>
      <w:numPr>
        <w:ilvl w:val="1"/>
        <w:numId w:val="6"/>
      </w:numPr>
      <w:spacing w:after="140"/>
    </w:pPr>
  </w:style>
  <w:style w:type="character" w:customStyle="1" w:styleId="LLVAufzhlung2Zchn">
    <w:name w:val="LLV_Aufzählung2 Zchn"/>
    <w:basedOn w:val="Absatz-Standardschriftart"/>
    <w:link w:val="LLVAufzhlung2"/>
    <w:rsid w:val="006F7E75"/>
    <w:rPr>
      <w:sz w:val="24"/>
      <w:szCs w:val="24"/>
      <w:lang w:val="de-DE"/>
    </w:rPr>
  </w:style>
  <w:style w:type="paragraph" w:customStyle="1" w:styleId="LLVAufzhlung3">
    <w:name w:val="LLV_Aufzählung3"/>
    <w:basedOn w:val="Standard"/>
    <w:next w:val="Standard"/>
    <w:link w:val="LLVAufzhlung3Zchn"/>
    <w:rsid w:val="006F7E75"/>
    <w:pPr>
      <w:numPr>
        <w:ilvl w:val="2"/>
        <w:numId w:val="6"/>
      </w:numPr>
      <w:spacing w:after="140"/>
    </w:pPr>
  </w:style>
  <w:style w:type="character" w:customStyle="1" w:styleId="LLVAufzhlung3Zchn">
    <w:name w:val="LLV_Aufzählung3 Zchn"/>
    <w:basedOn w:val="Absatz-Standardschriftart"/>
    <w:link w:val="LLVAufzhlung3"/>
    <w:rsid w:val="006F7E75"/>
    <w:rPr>
      <w:sz w:val="24"/>
      <w:szCs w:val="24"/>
      <w:lang w:val="de-DE"/>
    </w:rPr>
  </w:style>
  <w:style w:type="paragraph" w:customStyle="1" w:styleId="LLVAufzhlung4">
    <w:name w:val="LLV_Aufzählung4"/>
    <w:basedOn w:val="Standard"/>
    <w:next w:val="Standard"/>
    <w:link w:val="LLVAufzhlung4Zchn"/>
    <w:rsid w:val="006F7E75"/>
    <w:pPr>
      <w:numPr>
        <w:ilvl w:val="3"/>
        <w:numId w:val="6"/>
      </w:numPr>
      <w:spacing w:after="140"/>
    </w:pPr>
  </w:style>
  <w:style w:type="character" w:customStyle="1" w:styleId="LLVAufzhlung4Zchn">
    <w:name w:val="LLV_Aufzählung4 Zchn"/>
    <w:basedOn w:val="Absatz-Standardschriftart"/>
    <w:link w:val="LLVAufzhlung4"/>
    <w:rsid w:val="006F7E75"/>
    <w:rPr>
      <w:sz w:val="24"/>
      <w:szCs w:val="24"/>
      <w:lang w:val="de-DE"/>
    </w:rPr>
  </w:style>
  <w:style w:type="paragraph" w:customStyle="1" w:styleId="LLVNumAufz1FortsetzAltF">
    <w:name w:val="LLV_NumAufz1Fortsetz (Alt + F)"/>
    <w:basedOn w:val="Standard"/>
    <w:next w:val="Standard"/>
    <w:link w:val="LLVNumAufz1FortsetzAltFZchn"/>
    <w:qFormat/>
    <w:rsid w:val="006F7E75"/>
    <w:pPr>
      <w:spacing w:after="140"/>
      <w:ind w:left="340"/>
    </w:pPr>
  </w:style>
  <w:style w:type="character" w:customStyle="1" w:styleId="LLVNumAufz1FortsetzAltFZchn">
    <w:name w:val="LLV_NumAufz1Fortsetz (Alt + F) Zchn"/>
    <w:basedOn w:val="Absatz-Standardschriftart"/>
    <w:link w:val="LLVNumAufz1FortsetzAltF"/>
    <w:rsid w:val="006F7E75"/>
    <w:rPr>
      <w:sz w:val="24"/>
      <w:szCs w:val="24"/>
      <w:lang w:val="de-DE"/>
    </w:rPr>
  </w:style>
  <w:style w:type="paragraph" w:customStyle="1" w:styleId="LLVNumAufz2Fortsetz">
    <w:name w:val="LLV_NumAufz2Fortsetz"/>
    <w:basedOn w:val="Standard"/>
    <w:next w:val="Standard"/>
    <w:link w:val="LLVNumAufz2FortsetzZchn"/>
    <w:rsid w:val="006F7E75"/>
    <w:pPr>
      <w:spacing w:after="140"/>
      <w:ind w:left="851"/>
    </w:pPr>
  </w:style>
  <w:style w:type="character" w:customStyle="1" w:styleId="LLVNumAufz2FortsetzZchn">
    <w:name w:val="LLV_NumAufz2Fortsetz Zchn"/>
    <w:basedOn w:val="Absatz-Standardschriftart"/>
    <w:link w:val="LLVNumAufz2Fortsetz"/>
    <w:rsid w:val="006F7E75"/>
    <w:rPr>
      <w:sz w:val="24"/>
      <w:szCs w:val="24"/>
      <w:lang w:val="de-DE"/>
    </w:rPr>
  </w:style>
  <w:style w:type="paragraph" w:customStyle="1" w:styleId="LLVNumAufz3Fortsetz">
    <w:name w:val="LLV_NumAufz3Fortsetz"/>
    <w:basedOn w:val="Standard"/>
    <w:next w:val="Standard"/>
    <w:link w:val="LLVNumAufz3FortsetzZchn"/>
    <w:rsid w:val="006F7E75"/>
    <w:pPr>
      <w:spacing w:after="140"/>
      <w:ind w:left="1531"/>
    </w:pPr>
  </w:style>
  <w:style w:type="character" w:customStyle="1" w:styleId="LLVNumAufz3FortsetzZchn">
    <w:name w:val="LLV_NumAufz3Fortsetz Zchn"/>
    <w:basedOn w:val="Absatz-Standardschriftart"/>
    <w:link w:val="LLVNumAufz3Fortsetz"/>
    <w:rsid w:val="006F7E75"/>
    <w:rPr>
      <w:sz w:val="24"/>
      <w:szCs w:val="24"/>
      <w:lang w:val="de-DE"/>
    </w:rPr>
  </w:style>
  <w:style w:type="paragraph" w:customStyle="1" w:styleId="LLVNumAufz4Fortsetz">
    <w:name w:val="LLV_NumAufz4Fortsetz"/>
    <w:basedOn w:val="Standard"/>
    <w:next w:val="Standard"/>
    <w:link w:val="LLVNumAufz4FortsetzZchn"/>
    <w:rsid w:val="006F7E75"/>
    <w:pPr>
      <w:spacing w:after="140"/>
      <w:ind w:left="2381"/>
    </w:pPr>
  </w:style>
  <w:style w:type="character" w:customStyle="1" w:styleId="LLVNumAufz4FortsetzZchn">
    <w:name w:val="LLV_NumAufz4Fortsetz Zchn"/>
    <w:basedOn w:val="Absatz-Standardschriftart"/>
    <w:link w:val="LLVNumAufz4Fortsetz"/>
    <w:rsid w:val="006F7E75"/>
    <w:rPr>
      <w:sz w:val="24"/>
      <w:szCs w:val="24"/>
      <w:lang w:val="de-DE"/>
    </w:rPr>
  </w:style>
  <w:style w:type="paragraph" w:customStyle="1" w:styleId="LLVNummer1AltN">
    <w:name w:val="LLV_Nummer1 (Alt + N)"/>
    <w:basedOn w:val="Standard"/>
    <w:next w:val="Standard"/>
    <w:link w:val="LLVNummer1AltNZchn"/>
    <w:qFormat/>
    <w:rsid w:val="006F7E75"/>
    <w:pPr>
      <w:numPr>
        <w:ilvl w:val="1"/>
        <w:numId w:val="11"/>
      </w:numPr>
      <w:spacing w:after="140"/>
    </w:pPr>
  </w:style>
  <w:style w:type="character" w:customStyle="1" w:styleId="LLVNummer1AltNZchn">
    <w:name w:val="LLV_Nummer1 (Alt + N) Zchn"/>
    <w:basedOn w:val="Absatz-Standardschriftart"/>
    <w:link w:val="LLVNummer1AltN"/>
    <w:rsid w:val="006F7E75"/>
    <w:rPr>
      <w:sz w:val="24"/>
      <w:szCs w:val="24"/>
      <w:lang w:val="de-DE"/>
    </w:rPr>
  </w:style>
  <w:style w:type="paragraph" w:customStyle="1" w:styleId="LLVNummer2">
    <w:name w:val="LLV_Nummer2"/>
    <w:basedOn w:val="Standard"/>
    <w:next w:val="Standard"/>
    <w:link w:val="LLVNummer2Zchn"/>
    <w:rsid w:val="006F7E75"/>
    <w:pPr>
      <w:numPr>
        <w:ilvl w:val="2"/>
        <w:numId w:val="11"/>
      </w:numPr>
      <w:spacing w:after="140"/>
    </w:pPr>
  </w:style>
  <w:style w:type="character" w:customStyle="1" w:styleId="LLVNummer2Zchn">
    <w:name w:val="LLV_Nummer2 Zchn"/>
    <w:basedOn w:val="Absatz-Standardschriftart"/>
    <w:link w:val="LLVNummer2"/>
    <w:rsid w:val="006F7E75"/>
    <w:rPr>
      <w:sz w:val="24"/>
      <w:szCs w:val="24"/>
      <w:lang w:val="de-DE"/>
    </w:rPr>
  </w:style>
  <w:style w:type="paragraph" w:customStyle="1" w:styleId="LLVNummer3">
    <w:name w:val="LLV_Nummer3"/>
    <w:basedOn w:val="Standard"/>
    <w:next w:val="Standard"/>
    <w:link w:val="LLVNummer3Zchn"/>
    <w:rsid w:val="006F7E75"/>
    <w:pPr>
      <w:numPr>
        <w:ilvl w:val="3"/>
        <w:numId w:val="11"/>
      </w:numPr>
      <w:spacing w:after="140"/>
    </w:pPr>
  </w:style>
  <w:style w:type="character" w:customStyle="1" w:styleId="LLVNummer3Zchn">
    <w:name w:val="LLV_Nummer3 Zchn"/>
    <w:basedOn w:val="Absatz-Standardschriftart"/>
    <w:link w:val="LLVNummer3"/>
    <w:rsid w:val="006F7E75"/>
    <w:rPr>
      <w:sz w:val="24"/>
      <w:szCs w:val="24"/>
      <w:lang w:val="de-DE"/>
    </w:rPr>
  </w:style>
  <w:style w:type="paragraph" w:customStyle="1" w:styleId="LLVNummer4">
    <w:name w:val="LLV_Nummer4"/>
    <w:basedOn w:val="Standard"/>
    <w:next w:val="Standard"/>
    <w:link w:val="LLVNummer4Zchn"/>
    <w:rsid w:val="006F7E75"/>
    <w:pPr>
      <w:numPr>
        <w:ilvl w:val="4"/>
        <w:numId w:val="11"/>
      </w:numPr>
      <w:spacing w:after="140"/>
    </w:pPr>
  </w:style>
  <w:style w:type="character" w:customStyle="1" w:styleId="LLVNummer4Zchn">
    <w:name w:val="LLV_Nummer4 Zchn"/>
    <w:basedOn w:val="Absatz-Standardschriftart"/>
    <w:link w:val="LLVNummer4"/>
    <w:rsid w:val="006F7E75"/>
    <w:rPr>
      <w:sz w:val="24"/>
      <w:szCs w:val="24"/>
      <w:lang w:val="de-DE"/>
    </w:rPr>
  </w:style>
  <w:style w:type="paragraph" w:customStyle="1" w:styleId="LLVStandardVorNumAltV">
    <w:name w:val="LLV_StandardVorNum (Alt + V)"/>
    <w:basedOn w:val="Standard"/>
    <w:link w:val="LLVStandardVorNumAltVZchn"/>
    <w:rsid w:val="006F7E75"/>
    <w:pPr>
      <w:numPr>
        <w:numId w:val="11"/>
      </w:numPr>
    </w:pPr>
  </w:style>
  <w:style w:type="character" w:customStyle="1" w:styleId="LLVStandardVorNumAltVZchn">
    <w:name w:val="LLV_StandardVorNum (Alt + V) Zchn"/>
    <w:basedOn w:val="Absatz-Standardschriftart"/>
    <w:link w:val="LLVStandardVorNumAltV"/>
    <w:rsid w:val="006F7E75"/>
    <w:rPr>
      <w:sz w:val="24"/>
      <w:szCs w:val="24"/>
      <w:lang w:val="de-DE"/>
    </w:rPr>
  </w:style>
  <w:style w:type="paragraph" w:customStyle="1" w:styleId="LLVberschriftInsInhaltsverzeichnis">
    <w:name w:val="LLV_ÜberschriftInsInhaltsverzeichnis"/>
    <w:basedOn w:val="Standard"/>
    <w:next w:val="Standard"/>
    <w:rsid w:val="006F7E75"/>
    <w:pPr>
      <w:spacing w:after="560" w:line="360" w:lineRule="atLeast"/>
      <w:outlineLvl w:val="0"/>
    </w:pPr>
    <w:rPr>
      <w:b/>
      <w:sz w:val="32"/>
    </w:rPr>
  </w:style>
  <w:style w:type="paragraph" w:customStyle="1" w:styleId="LLVZwiTi1AltE">
    <w:name w:val="LLV_ZwiTi1 (Alt + E)"/>
    <w:next w:val="Standard"/>
    <w:link w:val="LLVZwiTi1AltEZchn"/>
    <w:rsid w:val="006F7E75"/>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6F7E75"/>
    <w:rPr>
      <w:rFonts w:ascii="Calibri" w:eastAsia="Calibri" w:hAnsi="Calibri" w:cs="Calibri"/>
      <w:b/>
      <w:sz w:val="32"/>
      <w:szCs w:val="32"/>
      <w:lang w:val="de-DE"/>
    </w:rPr>
  </w:style>
  <w:style w:type="paragraph" w:customStyle="1" w:styleId="LLVZwiTi2AltZ">
    <w:name w:val="LLV_ZwiTi2 (Alt + Z)"/>
    <w:next w:val="Standard"/>
    <w:link w:val="LLVZwiTi2AltZZchn"/>
    <w:rsid w:val="006F7E75"/>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6F7E75"/>
    <w:rPr>
      <w:rFonts w:ascii="Calibri" w:eastAsia="Calibri" w:hAnsi="Calibri" w:cs="Calibri"/>
      <w:b/>
      <w:sz w:val="28"/>
      <w:szCs w:val="26"/>
      <w:lang w:val="de-DE"/>
    </w:rPr>
  </w:style>
  <w:style w:type="paragraph" w:customStyle="1" w:styleId="LLVZwiTi3AltD">
    <w:name w:val="LLV_ZwiTi3 (Alt + D)"/>
    <w:next w:val="Standard"/>
    <w:link w:val="LLVZwiTi3AltDZchn"/>
    <w:rsid w:val="006F7E75"/>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6F7E75"/>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6F7E75"/>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6F7E75"/>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6F7E75"/>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6F7E75"/>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6F7E75"/>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6F7E75"/>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6F7E75"/>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6F7E75"/>
    <w:pPr>
      <w:spacing w:after="140"/>
      <w:ind w:left="1559" w:right="425" w:hanging="1559"/>
    </w:pPr>
  </w:style>
  <w:style w:type="paragraph" w:styleId="Funotentext">
    <w:name w:val="footnote text"/>
    <w:aliases w:val="LLV_Fußnotentext"/>
    <w:basedOn w:val="Standard"/>
    <w:link w:val="FunotentextZchn"/>
    <w:uiPriority w:val="99"/>
    <w:rsid w:val="006F7E75"/>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6F7E75"/>
    <w:rPr>
      <w:sz w:val="18"/>
      <w:szCs w:val="20"/>
      <w:lang w:val="de-DE"/>
    </w:rPr>
  </w:style>
  <w:style w:type="paragraph" w:styleId="Fuzeile">
    <w:name w:val="footer"/>
    <w:aliases w:val="LLV_Fußzeile"/>
    <w:link w:val="FuzeileZchn"/>
    <w:uiPriority w:val="99"/>
    <w:rsid w:val="006F7E75"/>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6F7E75"/>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6F7E75"/>
    <w:rPr>
      <w:rFonts w:ascii="Calibri" w:hAnsi="Calibri" w:cs="Calibri"/>
      <w:color w:val="0000FF"/>
      <w:u w:val="single"/>
    </w:rPr>
  </w:style>
  <w:style w:type="paragraph" w:styleId="Kopfzeile">
    <w:name w:val="header"/>
    <w:aliases w:val="LLV_Kopfzeile"/>
    <w:link w:val="KopfzeileZchn"/>
    <w:uiPriority w:val="99"/>
    <w:rsid w:val="006F7E75"/>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6F7E75"/>
    <w:rPr>
      <w:rFonts w:ascii="Calibri" w:eastAsia="Calibri" w:hAnsi="Calibri" w:cs="Calibri"/>
      <w:sz w:val="18"/>
      <w:szCs w:val="24"/>
      <w:lang w:val="de-DE"/>
    </w:rPr>
  </w:style>
  <w:style w:type="table" w:styleId="Tabellenraster">
    <w:name w:val="Table Grid"/>
    <w:basedOn w:val="NormaleTabelle"/>
    <w:uiPriority w:val="59"/>
    <w:rsid w:val="00702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unhideWhenUsed/>
    <w:rsid w:val="00B473DE"/>
    <w:pPr>
      <w:tabs>
        <w:tab w:val="left" w:pos="1701"/>
      </w:tabs>
      <w:ind w:left="671" w:hanging="284"/>
    </w:pPr>
  </w:style>
  <w:style w:type="character" w:customStyle="1" w:styleId="Textkrper-ZeileneinzugZchn">
    <w:name w:val="Textkörper-Zeileneinzug Zchn"/>
    <w:basedOn w:val="Absatz-Standardschriftart"/>
    <w:link w:val="Textkrper-Zeileneinzug"/>
    <w:uiPriority w:val="99"/>
    <w:rsid w:val="00B473DE"/>
    <w:rPr>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6F7E75"/>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6F7E75"/>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6F7E75"/>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6F7E75"/>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6F7E75"/>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6F7E75"/>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6F7E75"/>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6F7E75"/>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6F7E75"/>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6F7E75"/>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F7E75"/>
    <w:pPr>
      <w:spacing w:after="0" w:line="240" w:lineRule="auto"/>
    </w:pPr>
  </w:style>
  <w:style w:type="character" w:customStyle="1" w:styleId="berschrift9Zchn">
    <w:name w:val="Überschrift 9 Zchn"/>
    <w:aliases w:val="LLV_Überschrift9 Zchn"/>
    <w:basedOn w:val="Absatz-Standardschriftart"/>
    <w:link w:val="berschrift9"/>
    <w:uiPriority w:val="9"/>
    <w:rsid w:val="006F7E75"/>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6F7E75"/>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6F7E75"/>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6F7E75"/>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6F7E75"/>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6F7E75"/>
    <w:pPr>
      <w:spacing w:after="100"/>
      <w:ind w:left="1760"/>
    </w:pPr>
  </w:style>
  <w:style w:type="paragraph" w:styleId="Verzeichnis8">
    <w:name w:val="toc 8"/>
    <w:basedOn w:val="Standard"/>
    <w:next w:val="Standard"/>
    <w:autoRedefine/>
    <w:uiPriority w:val="39"/>
    <w:semiHidden/>
    <w:rsid w:val="006F7E75"/>
    <w:pPr>
      <w:spacing w:after="100"/>
      <w:ind w:left="1540"/>
    </w:pPr>
  </w:style>
  <w:style w:type="paragraph" w:styleId="Verzeichnis7">
    <w:name w:val="toc 7"/>
    <w:basedOn w:val="Standard"/>
    <w:next w:val="Standard"/>
    <w:autoRedefine/>
    <w:uiPriority w:val="39"/>
    <w:semiHidden/>
    <w:rsid w:val="006F7E75"/>
    <w:pPr>
      <w:spacing w:after="100"/>
      <w:ind w:left="1320"/>
    </w:pPr>
  </w:style>
  <w:style w:type="paragraph" w:styleId="Verzeichnis6">
    <w:name w:val="toc 6"/>
    <w:basedOn w:val="Standard"/>
    <w:next w:val="Standard"/>
    <w:autoRedefine/>
    <w:uiPriority w:val="39"/>
    <w:semiHidden/>
    <w:rsid w:val="006F7E75"/>
    <w:pPr>
      <w:spacing w:after="100"/>
      <w:ind w:left="1100"/>
    </w:pPr>
  </w:style>
  <w:style w:type="paragraph" w:styleId="Verzeichnis5">
    <w:name w:val="toc 5"/>
    <w:basedOn w:val="Standard"/>
    <w:next w:val="Standard"/>
    <w:autoRedefine/>
    <w:uiPriority w:val="39"/>
    <w:semiHidden/>
    <w:rsid w:val="006F7E75"/>
    <w:pPr>
      <w:spacing w:after="100"/>
      <w:ind w:left="880"/>
    </w:pPr>
  </w:style>
  <w:style w:type="paragraph" w:styleId="Untertitel">
    <w:name w:val="Subtitle"/>
    <w:basedOn w:val="Standard"/>
    <w:next w:val="Standard"/>
    <w:link w:val="UntertitelZchn"/>
    <w:uiPriority w:val="11"/>
    <w:semiHidden/>
    <w:qFormat/>
    <w:rsid w:val="006F7E75"/>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6F7E75"/>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6F7E75"/>
    <w:rPr>
      <w:i/>
      <w:iCs/>
      <w:color w:val="808080" w:themeColor="text1" w:themeTint="7F"/>
    </w:rPr>
  </w:style>
  <w:style w:type="character" w:styleId="Hervorhebung">
    <w:name w:val="Emphasis"/>
    <w:basedOn w:val="Absatz-Standardschriftart"/>
    <w:uiPriority w:val="20"/>
    <w:semiHidden/>
    <w:qFormat/>
    <w:rsid w:val="006F7E75"/>
    <w:rPr>
      <w:i/>
      <w:iCs/>
    </w:rPr>
  </w:style>
  <w:style w:type="character" w:styleId="IntensiveHervorhebung">
    <w:name w:val="Intense Emphasis"/>
    <w:basedOn w:val="Absatz-Standardschriftart"/>
    <w:uiPriority w:val="21"/>
    <w:semiHidden/>
    <w:qFormat/>
    <w:rsid w:val="006F7E75"/>
    <w:rPr>
      <w:b/>
      <w:bCs/>
      <w:i/>
      <w:iCs/>
      <w:color w:val="4F81BD" w:themeColor="accent1"/>
    </w:rPr>
  </w:style>
  <w:style w:type="paragraph" w:styleId="Zitat">
    <w:name w:val="Quote"/>
    <w:basedOn w:val="Standard"/>
    <w:next w:val="Standard"/>
    <w:link w:val="ZitatZchn"/>
    <w:uiPriority w:val="29"/>
    <w:semiHidden/>
    <w:qFormat/>
    <w:rsid w:val="006F7E75"/>
    <w:rPr>
      <w:i/>
      <w:iCs/>
      <w:color w:val="000000" w:themeColor="text1"/>
    </w:rPr>
  </w:style>
  <w:style w:type="character" w:customStyle="1" w:styleId="ZitatZchn">
    <w:name w:val="Zitat Zchn"/>
    <w:basedOn w:val="Absatz-Standardschriftart"/>
    <w:link w:val="Zitat"/>
    <w:uiPriority w:val="29"/>
    <w:rsid w:val="006F7E75"/>
    <w:rPr>
      <w:i/>
      <w:iCs/>
      <w:color w:val="000000" w:themeColor="text1"/>
    </w:rPr>
  </w:style>
  <w:style w:type="paragraph" w:styleId="IntensivesZitat">
    <w:name w:val="Intense Quote"/>
    <w:basedOn w:val="Standard"/>
    <w:next w:val="Standard"/>
    <w:link w:val="IntensivesZitatZchn"/>
    <w:uiPriority w:val="30"/>
    <w:semiHidden/>
    <w:qFormat/>
    <w:rsid w:val="006F7E75"/>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F7E75"/>
    <w:rPr>
      <w:b/>
      <w:bCs/>
      <w:i/>
      <w:iCs/>
      <w:color w:val="4F81BD" w:themeColor="accent1"/>
    </w:rPr>
  </w:style>
  <w:style w:type="character" w:styleId="SchwacherVerweis">
    <w:name w:val="Subtle Reference"/>
    <w:basedOn w:val="Absatz-Standardschriftart"/>
    <w:uiPriority w:val="31"/>
    <w:semiHidden/>
    <w:qFormat/>
    <w:rsid w:val="006F7E75"/>
    <w:rPr>
      <w:smallCaps/>
      <w:color w:val="C0504D" w:themeColor="accent2"/>
      <w:u w:val="single"/>
    </w:rPr>
  </w:style>
  <w:style w:type="character" w:styleId="IntensiverVerweis">
    <w:name w:val="Intense Reference"/>
    <w:basedOn w:val="Absatz-Standardschriftart"/>
    <w:uiPriority w:val="32"/>
    <w:semiHidden/>
    <w:qFormat/>
    <w:rsid w:val="006F7E75"/>
    <w:rPr>
      <w:b/>
      <w:bCs/>
      <w:smallCaps/>
      <w:color w:val="C0504D" w:themeColor="accent2"/>
      <w:spacing w:val="5"/>
      <w:u w:val="single"/>
    </w:rPr>
  </w:style>
  <w:style w:type="character" w:styleId="Buchtitel">
    <w:name w:val="Book Title"/>
    <w:basedOn w:val="Absatz-Standardschriftart"/>
    <w:uiPriority w:val="33"/>
    <w:semiHidden/>
    <w:qFormat/>
    <w:rsid w:val="006F7E75"/>
    <w:rPr>
      <w:b/>
      <w:bCs/>
      <w:smallCaps/>
      <w:spacing w:val="5"/>
    </w:rPr>
  </w:style>
  <w:style w:type="paragraph" w:styleId="Listenabsatz">
    <w:name w:val="List Paragraph"/>
    <w:basedOn w:val="Standard"/>
    <w:uiPriority w:val="34"/>
    <w:semiHidden/>
    <w:qFormat/>
    <w:rsid w:val="006F7E75"/>
    <w:pPr>
      <w:ind w:left="720"/>
      <w:contextualSpacing/>
    </w:pPr>
  </w:style>
  <w:style w:type="character" w:styleId="Fett">
    <w:name w:val="Strong"/>
    <w:basedOn w:val="Absatz-Standardschriftart"/>
    <w:uiPriority w:val="22"/>
    <w:semiHidden/>
    <w:qFormat/>
    <w:rsid w:val="006F7E75"/>
    <w:rPr>
      <w:b/>
      <w:bCs/>
    </w:rPr>
  </w:style>
  <w:style w:type="numbering" w:customStyle="1" w:styleId="LLVAufzhlung">
    <w:name w:val="LLV_Aufzählung"/>
    <w:basedOn w:val="KeineListe"/>
    <w:uiPriority w:val="99"/>
    <w:rsid w:val="006F7E75"/>
    <w:pPr>
      <w:numPr>
        <w:numId w:val="1"/>
      </w:numPr>
    </w:pPr>
  </w:style>
  <w:style w:type="numbering" w:customStyle="1" w:styleId="LLVNummerierung">
    <w:name w:val="LLV_Nummerierung"/>
    <w:basedOn w:val="KeineListe"/>
    <w:uiPriority w:val="99"/>
    <w:rsid w:val="006F7E75"/>
    <w:pPr>
      <w:numPr>
        <w:numId w:val="2"/>
      </w:numPr>
    </w:pPr>
  </w:style>
  <w:style w:type="paragraph" w:customStyle="1" w:styleId="LLVAufzhlung1AltA">
    <w:name w:val="LLV_Aufzählung1 (Alt + A)"/>
    <w:basedOn w:val="Standard"/>
    <w:next w:val="Standard"/>
    <w:link w:val="LLVAufzhlung1AltAZchn"/>
    <w:qFormat/>
    <w:rsid w:val="006F7E75"/>
    <w:pPr>
      <w:numPr>
        <w:numId w:val="6"/>
      </w:numPr>
      <w:spacing w:after="140"/>
    </w:pPr>
  </w:style>
  <w:style w:type="character" w:customStyle="1" w:styleId="LLVAufzhlung1AltAZchn">
    <w:name w:val="LLV_Aufzählung1 (Alt + A) Zchn"/>
    <w:basedOn w:val="Absatz-Standardschriftart"/>
    <w:link w:val="LLVAufzhlung1AltA"/>
    <w:rsid w:val="006F7E75"/>
    <w:rPr>
      <w:sz w:val="24"/>
      <w:szCs w:val="24"/>
      <w:lang w:val="de-DE"/>
    </w:rPr>
  </w:style>
  <w:style w:type="paragraph" w:customStyle="1" w:styleId="LLVAufzhlung2">
    <w:name w:val="LLV_Aufzählung2"/>
    <w:basedOn w:val="Standard"/>
    <w:next w:val="Standard"/>
    <w:link w:val="LLVAufzhlung2Zchn"/>
    <w:rsid w:val="006F7E75"/>
    <w:pPr>
      <w:numPr>
        <w:ilvl w:val="1"/>
        <w:numId w:val="6"/>
      </w:numPr>
      <w:spacing w:after="140"/>
    </w:pPr>
  </w:style>
  <w:style w:type="character" w:customStyle="1" w:styleId="LLVAufzhlung2Zchn">
    <w:name w:val="LLV_Aufzählung2 Zchn"/>
    <w:basedOn w:val="Absatz-Standardschriftart"/>
    <w:link w:val="LLVAufzhlung2"/>
    <w:rsid w:val="006F7E75"/>
    <w:rPr>
      <w:sz w:val="24"/>
      <w:szCs w:val="24"/>
      <w:lang w:val="de-DE"/>
    </w:rPr>
  </w:style>
  <w:style w:type="paragraph" w:customStyle="1" w:styleId="LLVAufzhlung3">
    <w:name w:val="LLV_Aufzählung3"/>
    <w:basedOn w:val="Standard"/>
    <w:next w:val="Standard"/>
    <w:link w:val="LLVAufzhlung3Zchn"/>
    <w:rsid w:val="006F7E75"/>
    <w:pPr>
      <w:numPr>
        <w:ilvl w:val="2"/>
        <w:numId w:val="6"/>
      </w:numPr>
      <w:spacing w:after="140"/>
    </w:pPr>
  </w:style>
  <w:style w:type="character" w:customStyle="1" w:styleId="LLVAufzhlung3Zchn">
    <w:name w:val="LLV_Aufzählung3 Zchn"/>
    <w:basedOn w:val="Absatz-Standardschriftart"/>
    <w:link w:val="LLVAufzhlung3"/>
    <w:rsid w:val="006F7E75"/>
    <w:rPr>
      <w:sz w:val="24"/>
      <w:szCs w:val="24"/>
      <w:lang w:val="de-DE"/>
    </w:rPr>
  </w:style>
  <w:style w:type="paragraph" w:customStyle="1" w:styleId="LLVAufzhlung4">
    <w:name w:val="LLV_Aufzählung4"/>
    <w:basedOn w:val="Standard"/>
    <w:next w:val="Standard"/>
    <w:link w:val="LLVAufzhlung4Zchn"/>
    <w:rsid w:val="006F7E75"/>
    <w:pPr>
      <w:numPr>
        <w:ilvl w:val="3"/>
        <w:numId w:val="6"/>
      </w:numPr>
      <w:spacing w:after="140"/>
    </w:pPr>
  </w:style>
  <w:style w:type="character" w:customStyle="1" w:styleId="LLVAufzhlung4Zchn">
    <w:name w:val="LLV_Aufzählung4 Zchn"/>
    <w:basedOn w:val="Absatz-Standardschriftart"/>
    <w:link w:val="LLVAufzhlung4"/>
    <w:rsid w:val="006F7E75"/>
    <w:rPr>
      <w:sz w:val="24"/>
      <w:szCs w:val="24"/>
      <w:lang w:val="de-DE"/>
    </w:rPr>
  </w:style>
  <w:style w:type="paragraph" w:customStyle="1" w:styleId="LLVNumAufz1FortsetzAltF">
    <w:name w:val="LLV_NumAufz1Fortsetz (Alt + F)"/>
    <w:basedOn w:val="Standard"/>
    <w:next w:val="Standard"/>
    <w:link w:val="LLVNumAufz1FortsetzAltFZchn"/>
    <w:qFormat/>
    <w:rsid w:val="006F7E75"/>
    <w:pPr>
      <w:spacing w:after="140"/>
      <w:ind w:left="340"/>
    </w:pPr>
  </w:style>
  <w:style w:type="character" w:customStyle="1" w:styleId="LLVNumAufz1FortsetzAltFZchn">
    <w:name w:val="LLV_NumAufz1Fortsetz (Alt + F) Zchn"/>
    <w:basedOn w:val="Absatz-Standardschriftart"/>
    <w:link w:val="LLVNumAufz1FortsetzAltF"/>
    <w:rsid w:val="006F7E75"/>
    <w:rPr>
      <w:sz w:val="24"/>
      <w:szCs w:val="24"/>
      <w:lang w:val="de-DE"/>
    </w:rPr>
  </w:style>
  <w:style w:type="paragraph" w:customStyle="1" w:styleId="LLVNumAufz2Fortsetz">
    <w:name w:val="LLV_NumAufz2Fortsetz"/>
    <w:basedOn w:val="Standard"/>
    <w:next w:val="Standard"/>
    <w:link w:val="LLVNumAufz2FortsetzZchn"/>
    <w:rsid w:val="006F7E75"/>
    <w:pPr>
      <w:spacing w:after="140"/>
      <w:ind w:left="851"/>
    </w:pPr>
  </w:style>
  <w:style w:type="character" w:customStyle="1" w:styleId="LLVNumAufz2FortsetzZchn">
    <w:name w:val="LLV_NumAufz2Fortsetz Zchn"/>
    <w:basedOn w:val="Absatz-Standardschriftart"/>
    <w:link w:val="LLVNumAufz2Fortsetz"/>
    <w:rsid w:val="006F7E75"/>
    <w:rPr>
      <w:sz w:val="24"/>
      <w:szCs w:val="24"/>
      <w:lang w:val="de-DE"/>
    </w:rPr>
  </w:style>
  <w:style w:type="paragraph" w:customStyle="1" w:styleId="LLVNumAufz3Fortsetz">
    <w:name w:val="LLV_NumAufz3Fortsetz"/>
    <w:basedOn w:val="Standard"/>
    <w:next w:val="Standard"/>
    <w:link w:val="LLVNumAufz3FortsetzZchn"/>
    <w:rsid w:val="006F7E75"/>
    <w:pPr>
      <w:spacing w:after="140"/>
      <w:ind w:left="1531"/>
    </w:pPr>
  </w:style>
  <w:style w:type="character" w:customStyle="1" w:styleId="LLVNumAufz3FortsetzZchn">
    <w:name w:val="LLV_NumAufz3Fortsetz Zchn"/>
    <w:basedOn w:val="Absatz-Standardschriftart"/>
    <w:link w:val="LLVNumAufz3Fortsetz"/>
    <w:rsid w:val="006F7E75"/>
    <w:rPr>
      <w:sz w:val="24"/>
      <w:szCs w:val="24"/>
      <w:lang w:val="de-DE"/>
    </w:rPr>
  </w:style>
  <w:style w:type="paragraph" w:customStyle="1" w:styleId="LLVNumAufz4Fortsetz">
    <w:name w:val="LLV_NumAufz4Fortsetz"/>
    <w:basedOn w:val="Standard"/>
    <w:next w:val="Standard"/>
    <w:link w:val="LLVNumAufz4FortsetzZchn"/>
    <w:rsid w:val="006F7E75"/>
    <w:pPr>
      <w:spacing w:after="140"/>
      <w:ind w:left="2381"/>
    </w:pPr>
  </w:style>
  <w:style w:type="character" w:customStyle="1" w:styleId="LLVNumAufz4FortsetzZchn">
    <w:name w:val="LLV_NumAufz4Fortsetz Zchn"/>
    <w:basedOn w:val="Absatz-Standardschriftart"/>
    <w:link w:val="LLVNumAufz4Fortsetz"/>
    <w:rsid w:val="006F7E75"/>
    <w:rPr>
      <w:sz w:val="24"/>
      <w:szCs w:val="24"/>
      <w:lang w:val="de-DE"/>
    </w:rPr>
  </w:style>
  <w:style w:type="paragraph" w:customStyle="1" w:styleId="LLVNummer1AltN">
    <w:name w:val="LLV_Nummer1 (Alt + N)"/>
    <w:basedOn w:val="Standard"/>
    <w:next w:val="Standard"/>
    <w:link w:val="LLVNummer1AltNZchn"/>
    <w:qFormat/>
    <w:rsid w:val="006F7E75"/>
    <w:pPr>
      <w:numPr>
        <w:ilvl w:val="1"/>
        <w:numId w:val="11"/>
      </w:numPr>
      <w:spacing w:after="140"/>
    </w:pPr>
  </w:style>
  <w:style w:type="character" w:customStyle="1" w:styleId="LLVNummer1AltNZchn">
    <w:name w:val="LLV_Nummer1 (Alt + N) Zchn"/>
    <w:basedOn w:val="Absatz-Standardschriftart"/>
    <w:link w:val="LLVNummer1AltN"/>
    <w:rsid w:val="006F7E75"/>
    <w:rPr>
      <w:sz w:val="24"/>
      <w:szCs w:val="24"/>
      <w:lang w:val="de-DE"/>
    </w:rPr>
  </w:style>
  <w:style w:type="paragraph" w:customStyle="1" w:styleId="LLVNummer2">
    <w:name w:val="LLV_Nummer2"/>
    <w:basedOn w:val="Standard"/>
    <w:next w:val="Standard"/>
    <w:link w:val="LLVNummer2Zchn"/>
    <w:rsid w:val="006F7E75"/>
    <w:pPr>
      <w:numPr>
        <w:ilvl w:val="2"/>
        <w:numId w:val="11"/>
      </w:numPr>
      <w:spacing w:after="140"/>
    </w:pPr>
  </w:style>
  <w:style w:type="character" w:customStyle="1" w:styleId="LLVNummer2Zchn">
    <w:name w:val="LLV_Nummer2 Zchn"/>
    <w:basedOn w:val="Absatz-Standardschriftart"/>
    <w:link w:val="LLVNummer2"/>
    <w:rsid w:val="006F7E75"/>
    <w:rPr>
      <w:sz w:val="24"/>
      <w:szCs w:val="24"/>
      <w:lang w:val="de-DE"/>
    </w:rPr>
  </w:style>
  <w:style w:type="paragraph" w:customStyle="1" w:styleId="LLVNummer3">
    <w:name w:val="LLV_Nummer3"/>
    <w:basedOn w:val="Standard"/>
    <w:next w:val="Standard"/>
    <w:link w:val="LLVNummer3Zchn"/>
    <w:rsid w:val="006F7E75"/>
    <w:pPr>
      <w:numPr>
        <w:ilvl w:val="3"/>
        <w:numId w:val="11"/>
      </w:numPr>
      <w:spacing w:after="140"/>
    </w:pPr>
  </w:style>
  <w:style w:type="character" w:customStyle="1" w:styleId="LLVNummer3Zchn">
    <w:name w:val="LLV_Nummer3 Zchn"/>
    <w:basedOn w:val="Absatz-Standardschriftart"/>
    <w:link w:val="LLVNummer3"/>
    <w:rsid w:val="006F7E75"/>
    <w:rPr>
      <w:sz w:val="24"/>
      <w:szCs w:val="24"/>
      <w:lang w:val="de-DE"/>
    </w:rPr>
  </w:style>
  <w:style w:type="paragraph" w:customStyle="1" w:styleId="LLVNummer4">
    <w:name w:val="LLV_Nummer4"/>
    <w:basedOn w:val="Standard"/>
    <w:next w:val="Standard"/>
    <w:link w:val="LLVNummer4Zchn"/>
    <w:rsid w:val="006F7E75"/>
    <w:pPr>
      <w:numPr>
        <w:ilvl w:val="4"/>
        <w:numId w:val="11"/>
      </w:numPr>
      <w:spacing w:after="140"/>
    </w:pPr>
  </w:style>
  <w:style w:type="character" w:customStyle="1" w:styleId="LLVNummer4Zchn">
    <w:name w:val="LLV_Nummer4 Zchn"/>
    <w:basedOn w:val="Absatz-Standardschriftart"/>
    <w:link w:val="LLVNummer4"/>
    <w:rsid w:val="006F7E75"/>
    <w:rPr>
      <w:sz w:val="24"/>
      <w:szCs w:val="24"/>
      <w:lang w:val="de-DE"/>
    </w:rPr>
  </w:style>
  <w:style w:type="paragraph" w:customStyle="1" w:styleId="LLVStandardVorNumAltV">
    <w:name w:val="LLV_StandardVorNum (Alt + V)"/>
    <w:basedOn w:val="Standard"/>
    <w:link w:val="LLVStandardVorNumAltVZchn"/>
    <w:rsid w:val="006F7E75"/>
    <w:pPr>
      <w:numPr>
        <w:numId w:val="11"/>
      </w:numPr>
    </w:pPr>
  </w:style>
  <w:style w:type="character" w:customStyle="1" w:styleId="LLVStandardVorNumAltVZchn">
    <w:name w:val="LLV_StandardVorNum (Alt + V) Zchn"/>
    <w:basedOn w:val="Absatz-Standardschriftart"/>
    <w:link w:val="LLVStandardVorNumAltV"/>
    <w:rsid w:val="006F7E75"/>
    <w:rPr>
      <w:sz w:val="24"/>
      <w:szCs w:val="24"/>
      <w:lang w:val="de-DE"/>
    </w:rPr>
  </w:style>
  <w:style w:type="paragraph" w:customStyle="1" w:styleId="LLVberschriftInsInhaltsverzeichnis">
    <w:name w:val="LLV_ÜberschriftInsInhaltsverzeichnis"/>
    <w:basedOn w:val="Standard"/>
    <w:next w:val="Standard"/>
    <w:rsid w:val="006F7E75"/>
    <w:pPr>
      <w:spacing w:after="560" w:line="360" w:lineRule="atLeast"/>
      <w:outlineLvl w:val="0"/>
    </w:pPr>
    <w:rPr>
      <w:b/>
      <w:sz w:val="32"/>
    </w:rPr>
  </w:style>
  <w:style w:type="paragraph" w:customStyle="1" w:styleId="LLVZwiTi1AltE">
    <w:name w:val="LLV_ZwiTi1 (Alt + E)"/>
    <w:next w:val="Standard"/>
    <w:link w:val="LLVZwiTi1AltEZchn"/>
    <w:rsid w:val="006F7E75"/>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6F7E75"/>
    <w:rPr>
      <w:rFonts w:ascii="Calibri" w:eastAsia="Calibri" w:hAnsi="Calibri" w:cs="Calibri"/>
      <w:b/>
      <w:sz w:val="32"/>
      <w:szCs w:val="32"/>
      <w:lang w:val="de-DE"/>
    </w:rPr>
  </w:style>
  <w:style w:type="paragraph" w:customStyle="1" w:styleId="LLVZwiTi2AltZ">
    <w:name w:val="LLV_ZwiTi2 (Alt + Z)"/>
    <w:next w:val="Standard"/>
    <w:link w:val="LLVZwiTi2AltZZchn"/>
    <w:rsid w:val="006F7E75"/>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6F7E75"/>
    <w:rPr>
      <w:rFonts w:ascii="Calibri" w:eastAsia="Calibri" w:hAnsi="Calibri" w:cs="Calibri"/>
      <w:b/>
      <w:sz w:val="28"/>
      <w:szCs w:val="26"/>
      <w:lang w:val="de-DE"/>
    </w:rPr>
  </w:style>
  <w:style w:type="paragraph" w:customStyle="1" w:styleId="LLVZwiTi3AltD">
    <w:name w:val="LLV_ZwiTi3 (Alt + D)"/>
    <w:next w:val="Standard"/>
    <w:link w:val="LLVZwiTi3AltDZchn"/>
    <w:rsid w:val="006F7E75"/>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6F7E75"/>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6F7E75"/>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6F7E75"/>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6F7E75"/>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6F7E75"/>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6F7E75"/>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6F7E75"/>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6F7E75"/>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6F7E75"/>
    <w:pPr>
      <w:spacing w:after="140"/>
      <w:ind w:left="1559" w:right="425" w:hanging="1559"/>
    </w:pPr>
  </w:style>
  <w:style w:type="paragraph" w:styleId="Funotentext">
    <w:name w:val="footnote text"/>
    <w:aliases w:val="LLV_Fußnotentext"/>
    <w:basedOn w:val="Standard"/>
    <w:link w:val="FunotentextZchn"/>
    <w:uiPriority w:val="99"/>
    <w:rsid w:val="006F7E75"/>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6F7E75"/>
    <w:rPr>
      <w:sz w:val="18"/>
      <w:szCs w:val="20"/>
      <w:lang w:val="de-DE"/>
    </w:rPr>
  </w:style>
  <w:style w:type="paragraph" w:styleId="Fuzeile">
    <w:name w:val="footer"/>
    <w:aliases w:val="LLV_Fußzeile"/>
    <w:link w:val="FuzeileZchn"/>
    <w:uiPriority w:val="99"/>
    <w:rsid w:val="006F7E75"/>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6F7E75"/>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6F7E75"/>
    <w:rPr>
      <w:rFonts w:ascii="Calibri" w:hAnsi="Calibri" w:cs="Calibri"/>
      <w:color w:val="0000FF"/>
      <w:u w:val="single"/>
    </w:rPr>
  </w:style>
  <w:style w:type="paragraph" w:styleId="Kopfzeile">
    <w:name w:val="header"/>
    <w:aliases w:val="LLV_Kopfzeile"/>
    <w:link w:val="KopfzeileZchn"/>
    <w:uiPriority w:val="99"/>
    <w:rsid w:val="006F7E75"/>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6F7E75"/>
    <w:rPr>
      <w:rFonts w:ascii="Calibri" w:eastAsia="Calibri" w:hAnsi="Calibri" w:cs="Calibri"/>
      <w:sz w:val="18"/>
      <w:szCs w:val="24"/>
      <w:lang w:val="de-DE"/>
    </w:rPr>
  </w:style>
  <w:style w:type="table" w:styleId="Tabellenraster">
    <w:name w:val="Table Grid"/>
    <w:basedOn w:val="NormaleTabelle"/>
    <w:uiPriority w:val="59"/>
    <w:rsid w:val="00702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unhideWhenUsed/>
    <w:rsid w:val="00B473DE"/>
    <w:pPr>
      <w:tabs>
        <w:tab w:val="left" w:pos="1701"/>
      </w:tabs>
      <w:ind w:left="671" w:hanging="284"/>
    </w:pPr>
  </w:style>
  <w:style w:type="character" w:customStyle="1" w:styleId="Textkrper-ZeileneinzugZchn">
    <w:name w:val="Textkörper-Zeileneinzug Zchn"/>
    <w:basedOn w:val="Absatz-Standardschriftart"/>
    <w:link w:val="Textkrper-Zeileneinzug"/>
    <w:uiPriority w:val="99"/>
    <w:rsid w:val="00B473DE"/>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AB6A43C2.dotm</Template>
  <TotalTime>0</TotalTime>
  <Pages>2</Pages>
  <Words>568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2016-02-03T13:45:00Z</dcterms:created>
  <dcterms:modified xsi:type="dcterms:W3CDTF">2016-02-03T13:46:00Z</dcterms:modified>
</cp:coreProperties>
</file>